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D08" w:rsidP="00D66D08" w:rsidRDefault="00D66D08" w14:paraId="7F176530" w14:textId="2571A4C4">
      <w:pPr>
        <w:pStyle w:val="Heading2"/>
        <w:spacing w:after="240"/>
        <w:rPr>
          <w:rFonts w:ascii="Arial" w:hAnsi="Arial" w:eastAsia="+mn-ea" w:cs="Arial"/>
          <w:b/>
          <w:bCs/>
          <w:color w:val="2D006F"/>
          <w:kern w:val="24"/>
          <w:sz w:val="48"/>
          <w:szCs w:val="48"/>
        </w:rPr>
      </w:pPr>
      <w:r w:rsidRPr="00D66D08">
        <w:rPr>
          <w:rFonts w:ascii="Arial" w:hAnsi="Arial" w:eastAsia="+mn-ea" w:cs="Arial"/>
          <w:color w:val="2D006F"/>
          <w:kern w:val="24"/>
          <w:sz w:val="48"/>
          <w:szCs w:val="48"/>
        </w:rPr>
        <w:t xml:space="preserve">25 years of the National Blood Transfusion Committee: </w:t>
      </w:r>
      <w:r w:rsidRPr="00D66D08">
        <w:rPr>
          <w:rFonts w:ascii="Arial" w:hAnsi="Arial" w:eastAsia="+mn-ea" w:cs="Arial"/>
          <w:b/>
          <w:bCs/>
          <w:color w:val="A14140"/>
          <w:kern w:val="24"/>
          <w:sz w:val="48"/>
          <w:szCs w:val="48"/>
        </w:rPr>
        <w:t>NBTC</w:t>
      </w:r>
      <w:r w:rsidRPr="00D66D08">
        <w:rPr>
          <w:rFonts w:ascii="Arial" w:hAnsi="Arial" w:eastAsia="+mn-ea" w:cs="Arial"/>
          <w:b/>
          <w:bCs/>
          <w:color w:val="2D006F"/>
          <w:kern w:val="24"/>
          <w:sz w:val="48"/>
          <w:szCs w:val="48"/>
        </w:rPr>
        <w:t>25</w:t>
      </w:r>
    </w:p>
    <w:p w:rsidRPr="00D66D08" w:rsidR="00D66D08" w:rsidP="00D66D08" w:rsidRDefault="00D66D08" w14:paraId="273796F0" w14:textId="5306AC14">
      <w:pPr>
        <w:pStyle w:val="Heading2"/>
        <w:spacing w:after="240"/>
        <w:rPr>
          <w:rFonts w:ascii="Arial" w:hAnsi="Arial" w:cs="Arial"/>
          <w:sz w:val="40"/>
          <w:szCs w:val="40"/>
        </w:rPr>
      </w:pPr>
      <w:r w:rsidRPr="00D66D08">
        <w:rPr>
          <w:rFonts w:ascii="Arial" w:hAnsi="Arial" w:cs="Arial"/>
          <w:sz w:val="40"/>
          <w:szCs w:val="40"/>
        </w:rPr>
        <w:t>10 Achievements</w:t>
      </w:r>
    </w:p>
    <w:p w:rsidRPr="00D66D08" w:rsidR="00D66D08" w:rsidP="00D66D08" w:rsidRDefault="00D66D08" w14:paraId="34173F7A" w14:textId="77777777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>NBTC established by the Chief Medical Officer to promote safe, appropriate transfusion practice across England.</w:t>
      </w:r>
    </w:p>
    <w:p w:rsidRPr="00D66D08" w:rsidR="00D66D08" w:rsidP="00D66D08" w:rsidRDefault="00D66D08" w14:paraId="0E807C29" w14:textId="77777777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>National transfusion governance embedded through Regional Transfusion Committees (RTCs) and Hospital Transfusion Committees (HTCs).</w:t>
      </w:r>
    </w:p>
    <w:p w:rsidRPr="00D66D08" w:rsidR="00D66D08" w:rsidP="00D66D08" w:rsidRDefault="00D66D08" w14:paraId="70939E11" w14:textId="0677B63A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 xml:space="preserve">Better Blood Transfusion </w:t>
      </w:r>
      <w:r w:rsidR="00220F41">
        <w:rPr>
          <w:rFonts w:ascii="Arial" w:hAnsi="Arial" w:cs="Arial"/>
          <w:sz w:val="28"/>
          <w:szCs w:val="28"/>
        </w:rPr>
        <w:t xml:space="preserve">version 3 </w:t>
      </w:r>
      <w:r w:rsidRPr="00D66D08">
        <w:rPr>
          <w:rFonts w:ascii="Arial" w:hAnsi="Arial" w:cs="Arial"/>
          <w:sz w:val="28"/>
          <w:szCs w:val="28"/>
        </w:rPr>
        <w:t xml:space="preserve">embedded </w:t>
      </w:r>
      <w:r w:rsidR="00530ACD">
        <w:rPr>
          <w:rFonts w:ascii="Arial" w:hAnsi="Arial" w:cs="Arial"/>
          <w:sz w:val="28"/>
          <w:szCs w:val="28"/>
        </w:rPr>
        <w:t>in the NHS by</w:t>
      </w:r>
      <w:r w:rsidRPr="00D66D08">
        <w:rPr>
          <w:rFonts w:ascii="Arial" w:hAnsi="Arial" w:cs="Arial"/>
          <w:sz w:val="28"/>
          <w:szCs w:val="28"/>
        </w:rPr>
        <w:t xml:space="preserve"> NBTC </w:t>
      </w:r>
      <w:r w:rsidR="00530ACD">
        <w:rPr>
          <w:rFonts w:ascii="Arial" w:hAnsi="Arial" w:cs="Arial"/>
          <w:sz w:val="28"/>
          <w:szCs w:val="28"/>
        </w:rPr>
        <w:t>leadership</w:t>
      </w:r>
      <w:r w:rsidRPr="00D66D08">
        <w:rPr>
          <w:rFonts w:ascii="Arial" w:hAnsi="Arial" w:cs="Arial"/>
          <w:sz w:val="28"/>
          <w:szCs w:val="28"/>
        </w:rPr>
        <w:t>, strengthening governance, audit, education, traceability and haemovigilance.</w:t>
      </w:r>
    </w:p>
    <w:p w:rsidRPr="00D66D08" w:rsidR="00D66D08" w:rsidP="00D66D08" w:rsidRDefault="00D66D08" w14:paraId="647F754C" w14:textId="77777777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>National audit, education and workforce capability strengthened through NBTC leadership and coordination.</w:t>
      </w:r>
    </w:p>
    <w:p w:rsidRPr="00D66D08" w:rsidR="00D66D08" w:rsidP="00D66D08" w:rsidRDefault="00D66D08" w14:paraId="5316129C" w14:textId="77777777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>Patient Blood Management established as a national approach and promoted by NBTC.</w:t>
      </w:r>
    </w:p>
    <w:p w:rsidRPr="00D66D08" w:rsidR="00D66D08" w:rsidP="00D66D08" w:rsidRDefault="00D66D08" w14:paraId="0DD4C9F0" w14:textId="77777777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>Sustained reduction in inappropriate blood use, supported through NBTC guidance and leadership.</w:t>
      </w:r>
    </w:p>
    <w:p w:rsidRPr="00D66D08" w:rsidR="00D66D08" w:rsidP="00D66D08" w:rsidRDefault="00D66D08" w14:paraId="602C3D70" w14:textId="673BCB65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>System leadership and resilience during COVID</w:t>
      </w:r>
      <w:r w:rsidRPr="00D66D08">
        <w:rPr>
          <w:rFonts w:ascii="Cambria Math" w:hAnsi="Cambria Math" w:cs="Cambria Math"/>
          <w:sz w:val="28"/>
          <w:szCs w:val="28"/>
        </w:rPr>
        <w:t>‑</w:t>
      </w:r>
      <w:r w:rsidRPr="00D66D08">
        <w:rPr>
          <w:rFonts w:ascii="Arial" w:hAnsi="Arial" w:cs="Arial"/>
          <w:sz w:val="28"/>
          <w:szCs w:val="28"/>
        </w:rPr>
        <w:t>19 and Amber Alert(s), delivered in partnership with NHS Blood &amp; Transplant.</w:t>
      </w:r>
    </w:p>
    <w:p w:rsidRPr="003D49C6" w:rsidR="00D66D08" w:rsidP="00D66D08" w:rsidRDefault="00D66D08" w14:paraId="76F104C2" w14:textId="2C3C7D51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  <w:sz w:val="28"/>
          <w:szCs w:val="28"/>
        </w:rPr>
      </w:pPr>
      <w:r w:rsidRPr="64CA5C0A" w:rsidR="00D66D08">
        <w:rPr>
          <w:rFonts w:ascii="Arial" w:hAnsi="Arial" w:cs="Arial"/>
          <w:sz w:val="28"/>
          <w:szCs w:val="28"/>
        </w:rPr>
        <w:t>Transfusion 2024 led to the platform for Transfusion Transformation, alongside publication of the Infected Blood Inquiry report.</w:t>
      </w:r>
      <w:r w:rsidRPr="64CA5C0A" w:rsidR="0074594D">
        <w:rPr>
          <w:rFonts w:ascii="Arial" w:hAnsi="Arial" w:cs="Arial"/>
          <w:sz w:val="28"/>
          <w:szCs w:val="28"/>
        </w:rPr>
        <w:t xml:space="preserve"> </w:t>
      </w:r>
      <w:r w:rsidRPr="64CA5C0A" w:rsidR="00DA4297">
        <w:rPr>
          <w:rFonts w:ascii="Arial" w:hAnsi="Arial" w:cs="Arial"/>
          <w:sz w:val="28"/>
          <w:szCs w:val="28"/>
        </w:rPr>
        <w:t>The Transfusion Transformation launch is due to take place</w:t>
      </w:r>
      <w:r w:rsidRPr="64CA5C0A" w:rsidR="0F2F1C10">
        <w:rPr>
          <w:rFonts w:ascii="Arial" w:hAnsi="Arial" w:cs="Arial"/>
          <w:sz w:val="28"/>
          <w:szCs w:val="28"/>
        </w:rPr>
        <w:t xml:space="preserve"> in the Autumn of 2026</w:t>
      </w:r>
      <w:r w:rsidRPr="64CA5C0A" w:rsidR="00DA4297">
        <w:rPr>
          <w:rFonts w:ascii="Arial" w:hAnsi="Arial" w:cs="Arial"/>
          <w:sz w:val="28"/>
          <w:szCs w:val="28"/>
        </w:rPr>
        <w:t xml:space="preserve">. NBTC support for Transfusion 2024/Transfusion Transformation will </w:t>
      </w:r>
      <w:r w:rsidRPr="64CA5C0A" w:rsidR="00DA4297">
        <w:rPr>
          <w:rFonts w:ascii="Arial" w:hAnsi="Arial" w:cs="Arial"/>
          <w:sz w:val="28"/>
          <w:szCs w:val="28"/>
        </w:rPr>
        <w:t>provide</w:t>
      </w:r>
      <w:r w:rsidRPr="64CA5C0A" w:rsidR="00DA4297">
        <w:rPr>
          <w:rFonts w:ascii="Arial" w:hAnsi="Arial" w:cs="Arial"/>
          <w:sz w:val="28"/>
          <w:szCs w:val="28"/>
        </w:rPr>
        <w:t xml:space="preserve"> the mechanism for implementing the recommendations of the Infected Blood Inquiry.</w:t>
      </w:r>
    </w:p>
    <w:p w:rsidR="003D49C6" w:rsidP="003D49C6" w:rsidRDefault="00D66D08" w14:paraId="5BF5BC38" w14:textId="77777777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Patient voice embedded in national leadership through the appointment of a Patient Co</w:t>
      </w:r>
      <w:r w:rsidRPr="003D49C6">
        <w:rPr>
          <w:rFonts w:ascii="Cambria Math" w:hAnsi="Cambria Math" w:cs="Cambria Math"/>
          <w:sz w:val="28"/>
          <w:szCs w:val="28"/>
        </w:rPr>
        <w:t>‑</w:t>
      </w:r>
      <w:r w:rsidRPr="003D49C6">
        <w:rPr>
          <w:rFonts w:ascii="Arial" w:hAnsi="Arial" w:cs="Arial"/>
          <w:sz w:val="28"/>
          <w:szCs w:val="28"/>
        </w:rPr>
        <w:t>Chair.</w:t>
      </w:r>
    </w:p>
    <w:p w:rsidRPr="003D49C6" w:rsidR="00D66D08" w:rsidP="003D49C6" w:rsidRDefault="00D66D08" w14:paraId="23A5A3E3" w14:textId="0E974319">
      <w:pPr>
        <w:pStyle w:val="ListParagraph"/>
        <w:numPr>
          <w:ilvl w:val="0"/>
          <w:numId w:val="4"/>
        </w:numPr>
        <w:spacing w:after="240"/>
        <w:contextualSpacing w:val="0"/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RCPath Award: NBTC and NHS Blood &amp; Transplant partnership recognised nationally for exceptional collaboration to improve patient care (formal announcement pending).</w:t>
      </w:r>
    </w:p>
    <w:p w:rsidRPr="00D66D08" w:rsidR="00D66D08" w:rsidP="00D66D08" w:rsidRDefault="00D66D08" w14:paraId="5618A550" w14:textId="77777777">
      <w:pPr>
        <w:pStyle w:val="ListParagraph"/>
      </w:pPr>
    </w:p>
    <w:p w:rsidRPr="00D66D08" w:rsidR="00D66D08" w:rsidP="00D66D08" w:rsidRDefault="00D66D08" w14:paraId="5E6FD67D" w14:textId="248D1260">
      <w:pPr>
        <w:pStyle w:val="Heading2"/>
        <w:rPr>
          <w:rFonts w:ascii="Arial" w:hAnsi="Arial" w:cs="Arial"/>
          <w:sz w:val="40"/>
          <w:szCs w:val="40"/>
        </w:rPr>
      </w:pPr>
      <w:r w:rsidRPr="00D66D08">
        <w:rPr>
          <w:rFonts w:ascii="Arial" w:hAnsi="Arial" w:cs="Arial"/>
          <w:sz w:val="40"/>
          <w:szCs w:val="40"/>
        </w:rPr>
        <w:t>5 Current Focus Points</w:t>
      </w:r>
    </w:p>
    <w:p w:rsidRPr="003D49C6" w:rsidR="003D49C6" w:rsidP="003D49C6" w:rsidRDefault="003D49C6" w14:paraId="41BF951F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Supporting the launch of Transfusion Transformation (2026).</w:t>
      </w:r>
    </w:p>
    <w:p w:rsidRPr="003D49C6" w:rsidR="003D49C6" w:rsidP="003D49C6" w:rsidRDefault="003D49C6" w14:paraId="6DC896BB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Responding to the Infected Blood Inquiry through leadership, learning and assurance.</w:t>
      </w:r>
    </w:p>
    <w:p w:rsidRPr="003D49C6" w:rsidR="003D49C6" w:rsidP="003D49C6" w:rsidRDefault="003D49C6" w14:paraId="434B8748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Further embedding patient voice in national transfusion leadership and governance.</w:t>
      </w:r>
    </w:p>
    <w:p w:rsidR="003D49C6" w:rsidP="003D49C6" w:rsidRDefault="003D49C6" w14:paraId="263ED84D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Reviewing and supporting approaches to address workforce challenges in transfusion, including progress against the TP framework, despite limited clarity on NHS funding</w:t>
      </w:r>
      <w:r>
        <w:rPr>
          <w:rFonts w:ascii="Arial" w:hAnsi="Arial" w:cs="Arial"/>
          <w:sz w:val="28"/>
          <w:szCs w:val="28"/>
        </w:rPr>
        <w:t>.</w:t>
      </w:r>
    </w:p>
    <w:p w:rsidRPr="003D49C6" w:rsidR="00D66D08" w:rsidP="003D49C6" w:rsidRDefault="003D49C6" w14:paraId="772FD289" w14:textId="22F82F64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Maintaining safe, appropriate transfusion practice in an increasingly pressured system.</w:t>
      </w:r>
    </w:p>
    <w:p w:rsidRPr="00D66D08" w:rsidR="00D66D08" w:rsidP="00D66D08" w:rsidRDefault="00D66D08" w14:paraId="7671083C" w14:textId="42044A21">
      <w:pPr>
        <w:pStyle w:val="Heading2"/>
        <w:rPr>
          <w:rFonts w:ascii="Arial" w:hAnsi="Arial" w:cs="Arial"/>
          <w:sz w:val="40"/>
          <w:szCs w:val="40"/>
        </w:rPr>
      </w:pPr>
      <w:r w:rsidRPr="00D66D08">
        <w:rPr>
          <w:rFonts w:ascii="Arial" w:hAnsi="Arial" w:cs="Arial"/>
          <w:sz w:val="40"/>
          <w:szCs w:val="40"/>
        </w:rPr>
        <w:t>5 Future Focus Points</w:t>
      </w:r>
    </w:p>
    <w:p w:rsidR="003D49C6" w:rsidP="003D49C6" w:rsidRDefault="003D49C6" w14:paraId="3E03E50F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Supporting the launch of Transfusion Transformation (2026).</w:t>
      </w:r>
    </w:p>
    <w:p w:rsidR="003D49C6" w:rsidP="003D49C6" w:rsidRDefault="003D49C6" w14:paraId="59BA2EF4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Responding to the Infected Blood Inquiry through leadership, learning and assurance.</w:t>
      </w:r>
    </w:p>
    <w:p w:rsidR="003D49C6" w:rsidP="003D49C6" w:rsidRDefault="003D49C6" w14:paraId="3B91AF62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Further embedding patient voice in national transfusion leadership and governance.</w:t>
      </w:r>
    </w:p>
    <w:p w:rsidR="003D49C6" w:rsidP="003D49C6" w:rsidRDefault="003D49C6" w14:paraId="7004AF5F" w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Reviewing and supporting approaches to address workforce challenges in transfusion, including progress against the TP framework, despite limited clarity on NHS funding.</w:t>
      </w:r>
    </w:p>
    <w:p w:rsidRPr="003D49C6" w:rsidR="00542993" w:rsidP="003D49C6" w:rsidRDefault="003D49C6" w14:paraId="65B65307" w14:textId="46B3851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D49C6">
        <w:rPr>
          <w:rFonts w:ascii="Arial" w:hAnsi="Arial" w:cs="Arial"/>
          <w:sz w:val="28"/>
          <w:szCs w:val="28"/>
        </w:rPr>
        <w:t>Maintaining safe, appropriate transfusion practice in an increasingly pressured system.</w:t>
      </w:r>
    </w:p>
    <w:p w:rsidRPr="00D66D08" w:rsidR="00D66D08" w:rsidP="00D66D08" w:rsidRDefault="00D66D08" w14:paraId="04453F4E" w14:textId="399CA177">
      <w:pPr>
        <w:pStyle w:val="Heading2"/>
        <w:rPr>
          <w:rFonts w:ascii="Arial" w:hAnsi="Arial" w:cs="Arial"/>
          <w:sz w:val="40"/>
          <w:szCs w:val="40"/>
        </w:rPr>
      </w:pPr>
      <w:r w:rsidRPr="00D66D08">
        <w:rPr>
          <w:rFonts w:ascii="Arial" w:hAnsi="Arial" w:cs="Arial"/>
          <w:sz w:val="40"/>
          <w:szCs w:val="40"/>
        </w:rPr>
        <w:t>5 Calls to Action</w:t>
      </w:r>
    </w:p>
    <w:p w:rsidRPr="00D66D08" w:rsidR="00D66D08" w:rsidP="00D66D08" w:rsidRDefault="00D66D08" w14:paraId="55CBA6AA" w14:textId="07EE8EF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>Support your local Hospital Transfusion Committee and Regional Transfusion Committee</w:t>
      </w:r>
      <w:r w:rsidR="00542993">
        <w:rPr>
          <w:rFonts w:ascii="Arial" w:hAnsi="Arial" w:cs="Arial"/>
          <w:sz w:val="28"/>
          <w:szCs w:val="28"/>
        </w:rPr>
        <w:t>; p</w:t>
      </w:r>
      <w:r w:rsidRPr="00542993" w:rsidR="00542993">
        <w:rPr>
          <w:rFonts w:ascii="Arial" w:hAnsi="Arial" w:cs="Arial"/>
          <w:sz w:val="28"/>
          <w:szCs w:val="28"/>
        </w:rPr>
        <w:t xml:space="preserve">romote engagement with NHS Trust management/governance to ensure </w:t>
      </w:r>
      <w:r w:rsidR="00542993">
        <w:rPr>
          <w:rFonts w:ascii="Arial" w:hAnsi="Arial" w:cs="Arial"/>
          <w:sz w:val="28"/>
          <w:szCs w:val="28"/>
        </w:rPr>
        <w:t xml:space="preserve">risks are escalated and </w:t>
      </w:r>
      <w:r w:rsidRPr="00542993" w:rsidR="00542993">
        <w:rPr>
          <w:rFonts w:ascii="Arial" w:hAnsi="Arial" w:cs="Arial"/>
          <w:sz w:val="28"/>
          <w:szCs w:val="28"/>
        </w:rPr>
        <w:t>that sufficient resources are provided to support good transfusion practice</w:t>
      </w:r>
      <w:r w:rsidR="00542993">
        <w:rPr>
          <w:rFonts w:ascii="Arial" w:hAnsi="Arial" w:cs="Arial"/>
          <w:sz w:val="28"/>
          <w:szCs w:val="28"/>
        </w:rPr>
        <w:t>.</w:t>
      </w:r>
    </w:p>
    <w:p w:rsidRPr="00D66D08" w:rsidR="00D66D08" w:rsidP="00D66D08" w:rsidRDefault="00D66D08" w14:paraId="5845076C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>Encourage and support patient involvement via Transfusion Care Champions and the Patient Involvement Working Group.</w:t>
      </w:r>
    </w:p>
    <w:p w:rsidRPr="00D66D08" w:rsidR="00D66D08" w:rsidP="00D66D08" w:rsidRDefault="00D66D08" w14:paraId="06DB981C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>Connect with NBTC through Regional Transfusion Committees and national communication channels.</w:t>
      </w:r>
    </w:p>
    <w:p w:rsidRPr="00D66D08" w:rsidR="00D66D08" w:rsidP="00D66D08" w:rsidRDefault="00D66D08" w14:paraId="2529686A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>Consider supporting regional leadership, including deputy RTC Chair roles.</w:t>
      </w:r>
    </w:p>
    <w:p w:rsidRPr="00D66D08" w:rsidR="00521A93" w:rsidP="00D66D08" w:rsidRDefault="00D66D08" w14:paraId="038BAC36" w14:textId="5ACDD3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66D08">
        <w:rPr>
          <w:rFonts w:ascii="Arial" w:hAnsi="Arial" w:cs="Arial"/>
          <w:sz w:val="28"/>
          <w:szCs w:val="28"/>
        </w:rPr>
        <w:t>Join one of the NBTC working groups to contribute to national improvement in transfusion practice.</w:t>
      </w:r>
    </w:p>
    <w:sectPr w:rsidRPr="00D66D08" w:rsidR="00521A93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2a38d48745b44f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A3B" w:rsidP="00D66D08" w:rsidRDefault="00EC7A3B" w14:paraId="566EA8CF" w14:textId="77777777">
      <w:pPr>
        <w:spacing w:after="0" w:line="240" w:lineRule="auto"/>
      </w:pPr>
      <w:r>
        <w:separator/>
      </w:r>
    </w:p>
  </w:endnote>
  <w:endnote w:type="continuationSeparator" w:id="0">
    <w:p w:rsidR="00EC7A3B" w:rsidP="00D66D08" w:rsidRDefault="00EC7A3B" w14:paraId="66C27C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CA5C0A" w:rsidTr="64CA5C0A" w14:paraId="568B88F2">
      <w:trPr>
        <w:trHeight w:val="300"/>
      </w:trPr>
      <w:tc>
        <w:tcPr>
          <w:tcW w:w="3005" w:type="dxa"/>
          <w:tcMar/>
        </w:tcPr>
        <w:p w:rsidR="64CA5C0A" w:rsidP="64CA5C0A" w:rsidRDefault="64CA5C0A" w14:paraId="4B8C6131" w14:textId="41F93F5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4CA5C0A" w:rsidP="64CA5C0A" w:rsidRDefault="64CA5C0A" w14:paraId="2E64EC43" w14:textId="191D530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4CA5C0A" w:rsidP="64CA5C0A" w:rsidRDefault="64CA5C0A" w14:paraId="6CD8742B" w14:textId="73FD6965">
          <w:pPr>
            <w:pStyle w:val="Header"/>
            <w:bidi w:val="0"/>
            <w:ind w:right="-115"/>
            <w:jc w:val="right"/>
          </w:pPr>
        </w:p>
      </w:tc>
    </w:tr>
  </w:tbl>
  <w:p w:rsidR="64CA5C0A" w:rsidP="64CA5C0A" w:rsidRDefault="64CA5C0A" w14:paraId="70BEDE47" w14:textId="1D49E73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A3B" w:rsidP="00D66D08" w:rsidRDefault="00EC7A3B" w14:paraId="7891F39C" w14:textId="77777777">
      <w:pPr>
        <w:spacing w:after="0" w:line="240" w:lineRule="auto"/>
      </w:pPr>
      <w:r>
        <w:separator/>
      </w:r>
    </w:p>
  </w:footnote>
  <w:footnote w:type="continuationSeparator" w:id="0">
    <w:p w:rsidR="00EC7A3B" w:rsidP="00D66D08" w:rsidRDefault="00EC7A3B" w14:paraId="156A90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D66D08" w:rsidRDefault="00D66D08" w14:paraId="56311C39" w14:textId="40193A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29D27" wp14:editId="4B296E86">
          <wp:simplePos x="0" y="0"/>
          <wp:positionH relativeFrom="column">
            <wp:posOffset>-552450</wp:posOffset>
          </wp:positionH>
          <wp:positionV relativeFrom="paragraph">
            <wp:posOffset>-247650</wp:posOffset>
          </wp:positionV>
          <wp:extent cx="1838325" cy="780372"/>
          <wp:effectExtent l="0" t="0" r="0" b="0"/>
          <wp:wrapNone/>
          <wp:docPr id="9" name="Picture 8">
            <a:extLst>
              <a:ext uri="{FF2B5EF4-FFF2-40B4-BE49-F238E27FC236}">
                <a16:creationId xmlns:a16="http://schemas.microsoft.com/office/drawing/2014/main" id="{59027DF0-89EB-D4D8-1F0C-364AD8B900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59027DF0-89EB-D4D8-1F0C-364AD8B900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738" cy="784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13C8"/>
    <w:multiLevelType w:val="hybridMultilevel"/>
    <w:tmpl w:val="4D4814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D022D"/>
    <w:multiLevelType w:val="hybridMultilevel"/>
    <w:tmpl w:val="2BAA7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1578"/>
    <w:multiLevelType w:val="hybridMultilevel"/>
    <w:tmpl w:val="9B0EEFD8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C0C3B"/>
    <w:multiLevelType w:val="hybridMultilevel"/>
    <w:tmpl w:val="C512E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03E0A"/>
    <w:multiLevelType w:val="hybridMultilevel"/>
    <w:tmpl w:val="9A844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5028">
    <w:abstractNumId w:val="3"/>
  </w:num>
  <w:num w:numId="2" w16cid:durableId="1006514057">
    <w:abstractNumId w:val="4"/>
  </w:num>
  <w:num w:numId="3" w16cid:durableId="1795826086">
    <w:abstractNumId w:val="0"/>
  </w:num>
  <w:num w:numId="4" w16cid:durableId="1604268990">
    <w:abstractNumId w:val="2"/>
  </w:num>
  <w:num w:numId="5" w16cid:durableId="140529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08"/>
    <w:rsid w:val="0003315E"/>
    <w:rsid w:val="00063EA7"/>
    <w:rsid w:val="000C1839"/>
    <w:rsid w:val="000E3A14"/>
    <w:rsid w:val="00102BCE"/>
    <w:rsid w:val="00103CFD"/>
    <w:rsid w:val="001049B7"/>
    <w:rsid w:val="001253EF"/>
    <w:rsid w:val="00185C1F"/>
    <w:rsid w:val="001B09EC"/>
    <w:rsid w:val="001C3AE8"/>
    <w:rsid w:val="001E5584"/>
    <w:rsid w:val="00220F41"/>
    <w:rsid w:val="0023187B"/>
    <w:rsid w:val="00236998"/>
    <w:rsid w:val="002739FB"/>
    <w:rsid w:val="00284B13"/>
    <w:rsid w:val="002C7D92"/>
    <w:rsid w:val="002E0E69"/>
    <w:rsid w:val="002E10A7"/>
    <w:rsid w:val="002E4221"/>
    <w:rsid w:val="00395194"/>
    <w:rsid w:val="003D3C66"/>
    <w:rsid w:val="003D49C6"/>
    <w:rsid w:val="003E48EB"/>
    <w:rsid w:val="00404CAD"/>
    <w:rsid w:val="004F0477"/>
    <w:rsid w:val="00521A93"/>
    <w:rsid w:val="00530ACD"/>
    <w:rsid w:val="00534259"/>
    <w:rsid w:val="00542993"/>
    <w:rsid w:val="00556065"/>
    <w:rsid w:val="00575500"/>
    <w:rsid w:val="00584021"/>
    <w:rsid w:val="005A7DB1"/>
    <w:rsid w:val="005D7D92"/>
    <w:rsid w:val="005F5A9C"/>
    <w:rsid w:val="0064311D"/>
    <w:rsid w:val="006539D4"/>
    <w:rsid w:val="007348E4"/>
    <w:rsid w:val="00744B89"/>
    <w:rsid w:val="0074594D"/>
    <w:rsid w:val="0076730F"/>
    <w:rsid w:val="007B1901"/>
    <w:rsid w:val="007E5929"/>
    <w:rsid w:val="007E5A77"/>
    <w:rsid w:val="007F3A44"/>
    <w:rsid w:val="00831453"/>
    <w:rsid w:val="00837792"/>
    <w:rsid w:val="008E2EDF"/>
    <w:rsid w:val="008F0164"/>
    <w:rsid w:val="00935EE7"/>
    <w:rsid w:val="009A263B"/>
    <w:rsid w:val="009A55D5"/>
    <w:rsid w:val="009D2F10"/>
    <w:rsid w:val="00A4029C"/>
    <w:rsid w:val="00A66F99"/>
    <w:rsid w:val="00AF1BCA"/>
    <w:rsid w:val="00B000D8"/>
    <w:rsid w:val="00B21F3F"/>
    <w:rsid w:val="00B24E28"/>
    <w:rsid w:val="00B43361"/>
    <w:rsid w:val="00BB3E85"/>
    <w:rsid w:val="00BD679F"/>
    <w:rsid w:val="00C567EC"/>
    <w:rsid w:val="00C71D29"/>
    <w:rsid w:val="00C769F8"/>
    <w:rsid w:val="00C97A10"/>
    <w:rsid w:val="00CA45CA"/>
    <w:rsid w:val="00CC07B6"/>
    <w:rsid w:val="00CD1A22"/>
    <w:rsid w:val="00D31CC9"/>
    <w:rsid w:val="00D32018"/>
    <w:rsid w:val="00D65988"/>
    <w:rsid w:val="00D66D08"/>
    <w:rsid w:val="00D80E62"/>
    <w:rsid w:val="00DA4297"/>
    <w:rsid w:val="00E45E15"/>
    <w:rsid w:val="00EC7A3B"/>
    <w:rsid w:val="00EE4243"/>
    <w:rsid w:val="00EF50E6"/>
    <w:rsid w:val="00F36CC8"/>
    <w:rsid w:val="00F9403F"/>
    <w:rsid w:val="00FE7E1F"/>
    <w:rsid w:val="0F2F1C10"/>
    <w:rsid w:val="64CA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38F7"/>
  <w15:chartTrackingRefBased/>
  <w15:docId w15:val="{B1166DDF-6C82-45B8-9B81-E915F2A3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D0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D0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6D0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66D08"/>
    <w:rPr>
      <w:rFonts w:asciiTheme="majorHAnsi" w:hAnsiTheme="majorHAnsi" w:eastAsiaTheme="majorEastAsia" w:cstheme="majorBidi"/>
      <w:color w:val="C00000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66D0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66D0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66D0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6D0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6D0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6D0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6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D0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66D0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66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D0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66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D0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6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D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6D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6D08"/>
  </w:style>
  <w:style w:type="paragraph" w:styleId="Footer">
    <w:name w:val="footer"/>
    <w:basedOn w:val="Normal"/>
    <w:link w:val="FooterChar"/>
    <w:uiPriority w:val="99"/>
    <w:unhideWhenUsed/>
    <w:rsid w:val="00D66D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6D08"/>
  </w:style>
  <w:style w:type="paragraph" w:styleId="Revision">
    <w:name w:val="Revision"/>
    <w:hidden/>
    <w:uiPriority w:val="99"/>
    <w:semiHidden/>
    <w:rsid w:val="00530A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AC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30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A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0ACD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2a38d48745b44f0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5E4C472258146898072D16037272E" ma:contentTypeVersion="18" ma:contentTypeDescription="Create a new document." ma:contentTypeScope="" ma:versionID="af2dccd16b8d1d5ec4824886b3d1c68d">
  <xsd:schema xmlns:xsd="http://www.w3.org/2001/XMLSchema" xmlns:xs="http://www.w3.org/2001/XMLSchema" xmlns:p="http://schemas.microsoft.com/office/2006/metadata/properties" xmlns:ns3="9c337fbd-1b63-42bc-95f2-1f0dc9163591" xmlns:ns4="70fc06b9-8bc4-4dca-bf01-571168ec25c4" targetNamespace="http://schemas.microsoft.com/office/2006/metadata/properties" ma:root="true" ma:fieldsID="35eab69937ed959fff8f2305766f67ea" ns3:_="" ns4:_="">
    <xsd:import namespace="9c337fbd-1b63-42bc-95f2-1f0dc9163591"/>
    <xsd:import namespace="70fc06b9-8bc4-4dca-bf01-571168ec2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7fbd-1b63-42bc-95f2-1f0dc9163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06b9-8bc4-4dca-bf01-571168ec2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337fbd-1b63-42bc-95f2-1f0dc9163591" xsi:nil="true"/>
  </documentManagement>
</p:properties>
</file>

<file path=customXml/itemProps1.xml><?xml version="1.0" encoding="utf-8"?>
<ds:datastoreItem xmlns:ds="http://schemas.openxmlformats.org/officeDocument/2006/customXml" ds:itemID="{1DDDEE75-F7AB-43A4-9856-67A8B45BB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F1571-E9F1-4026-B924-86860DB4D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37fbd-1b63-42bc-95f2-1f0dc9163591"/>
    <ds:schemaRef ds:uri="70fc06b9-8bc4-4dca-bf01-571168ec2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AEF37-6BAF-414D-9888-8595785F0E05}">
  <ds:schemaRefs>
    <ds:schemaRef ds:uri="http://schemas.microsoft.com/office/2006/metadata/properties"/>
    <ds:schemaRef ds:uri="http://schemas.microsoft.com/office/infopath/2007/PartnerControls"/>
    <ds:schemaRef ds:uri="9c337fbd-1b63-42bc-95f2-1f0dc916359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Sasha Tidy</dc:creator>
  <keywords/>
  <dc:description/>
  <lastModifiedBy>Sasha Tidy</lastModifiedBy>
  <revision>3</revision>
  <dcterms:created xsi:type="dcterms:W3CDTF">2026-07-02T07:52:00.0000000Z</dcterms:created>
  <dcterms:modified xsi:type="dcterms:W3CDTF">2026-07-02T07:55:05.7727433Z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0x0101007B05E4C472258146898072D16037272E</vt:lpwstr>
  </property>
  <property fmtid="{D5CDD505-2E9C-101B-9397-08002B2CF9AE}" pid="3" name="MediaServiceImageTags">
    <vt:lpwstr/>
  </property>
</Properties>
</file>